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A6" w:rsidRPr="00D806A6" w:rsidRDefault="00D806A6" w:rsidP="00D806A6">
      <w:pPr>
        <w:spacing w:after="200"/>
        <w:rPr>
          <w:rFonts w:cs="Times New Roman"/>
          <w:b/>
          <w:sz w:val="32"/>
          <w:szCs w:val="32"/>
        </w:rPr>
      </w:pPr>
      <w:bookmarkStart w:id="0" w:name="_Toc526771885"/>
      <w:bookmarkStart w:id="1" w:name="_Toc38638232"/>
      <w:r w:rsidRPr="00D806A6">
        <w:rPr>
          <w:b/>
          <w:sz w:val="32"/>
          <w:szCs w:val="32"/>
        </w:rPr>
        <w:t>Offentlighetsvurdering og skjerming</w:t>
      </w:r>
      <w:bookmarkEnd w:id="0"/>
      <w:bookmarkEnd w:id="1"/>
    </w:p>
    <w:p w:rsidR="00D806A6" w:rsidRPr="00E6607A" w:rsidRDefault="00D806A6" w:rsidP="00D806A6">
      <w:pPr>
        <w:spacing w:after="200"/>
        <w:rPr>
          <w:rFonts w:cs="Calibri"/>
        </w:rPr>
      </w:pPr>
      <w:r>
        <w:rPr>
          <w:rFonts w:cs="Times New Roman"/>
        </w:rPr>
        <w:t>Vestvågøy</w:t>
      </w:r>
      <w:r w:rsidRPr="00E6607A">
        <w:rPr>
          <w:rFonts w:cs="Times New Roman"/>
        </w:rPr>
        <w:t xml:space="preserve"> </w:t>
      </w:r>
      <w:r>
        <w:rPr>
          <w:rFonts w:cs="Times New Roman"/>
        </w:rPr>
        <w:t xml:space="preserve">kommune </w:t>
      </w:r>
      <w:r w:rsidRPr="00E6607A">
        <w:rPr>
          <w:rFonts w:cs="Calibri"/>
        </w:rPr>
        <w:t xml:space="preserve">skal utvise meroffentlighet. Dette innebærer at </w:t>
      </w:r>
      <w:r w:rsidRPr="00E6607A">
        <w:rPr>
          <w:rFonts w:cs="Calibri"/>
          <w:u w:val="single"/>
        </w:rPr>
        <w:t>alle</w:t>
      </w:r>
      <w:r w:rsidRPr="00E6607A">
        <w:rPr>
          <w:rFonts w:cs="Calibri"/>
        </w:rPr>
        <w:t xml:space="preserve"> dokumenter i utgangspunktet skal være offentlige såfremt de ikke kan unntas i henhold til lov. Hele saker skal bare unntas offentlighet hvis opplysninger i ett eller flere av dokumentene er unntatt fra offentlighet og de gjenværende dokumentene gir en feil fremstilling av saken. </w:t>
      </w:r>
    </w:p>
    <w:p w:rsidR="00D806A6" w:rsidRDefault="00D806A6" w:rsidP="00D806A6">
      <w:pPr>
        <w:spacing w:after="200"/>
        <w:rPr>
          <w:rFonts w:cs="Calibri"/>
          <w:b/>
          <w:i/>
        </w:rPr>
      </w:pPr>
      <w:r w:rsidRPr="00E6607A">
        <w:rPr>
          <w:rFonts w:cs="Calibri"/>
          <w:b/>
          <w:i/>
        </w:rPr>
        <w:t>Offentlighetsvurdering og skjerming av saker, journalposter og saksdokumenter er saksansvarliges ansvar.</w:t>
      </w:r>
    </w:p>
    <w:p w:rsidR="008E7F4E" w:rsidRDefault="008E7F4E" w:rsidP="008E7F4E">
      <w:pPr>
        <w:pStyle w:val="NormalWeb"/>
      </w:pPr>
      <w:r>
        <w:t>Saksbehandler er ansvarlig for å sette seg inn i relevant lovverk for sitt fagområde. Lovene finner du på </w:t>
      </w:r>
      <w:hyperlink r:id="rId4" w:tgtFrame="_blank" w:history="1">
        <w:r>
          <w:rPr>
            <w:rStyle w:val="Hyperkobling"/>
          </w:rPr>
          <w:t>Lovdata</w:t>
        </w:r>
      </w:hyperlink>
      <w:r>
        <w:t xml:space="preserve">. </w:t>
      </w:r>
      <w:bookmarkStart w:id="2" w:name="_GoBack"/>
      <w:bookmarkEnd w:id="2"/>
    </w:p>
    <w:p w:rsidR="008E7F4E" w:rsidRPr="00E6607A" w:rsidRDefault="008E7F4E" w:rsidP="00D806A6">
      <w:pPr>
        <w:spacing w:after="200"/>
        <w:rPr>
          <w:rFonts w:cs="Calibri"/>
          <w:i/>
        </w:rPr>
      </w:pPr>
      <w:r>
        <w:rPr>
          <w:rFonts w:cs="Calibri"/>
          <w:b/>
          <w:i/>
        </w:rPr>
        <w:t xml:space="preserve">Dokumentsenteret kan bistå med råd og veiledning </w:t>
      </w:r>
      <w:proofErr w:type="spellStart"/>
      <w:r>
        <w:rPr>
          <w:rFonts w:cs="Calibri"/>
          <w:b/>
          <w:i/>
        </w:rPr>
        <w:t>ift</w:t>
      </w:r>
      <w:proofErr w:type="spellEnd"/>
      <w:r>
        <w:rPr>
          <w:rFonts w:cs="Calibri"/>
          <w:b/>
          <w:i/>
        </w:rPr>
        <w:t>. graderings- skjermingskode.</w:t>
      </w:r>
    </w:p>
    <w:p w:rsidR="00D806A6" w:rsidRPr="00E6607A" w:rsidRDefault="00D806A6" w:rsidP="00D806A6">
      <w:pPr>
        <w:spacing w:after="200"/>
        <w:rPr>
          <w:rFonts w:cs="Calibri"/>
          <w:b/>
        </w:rPr>
      </w:pPr>
      <w:r w:rsidRPr="00E6607A">
        <w:rPr>
          <w:rFonts w:cs="Calibri"/>
          <w:b/>
        </w:rPr>
        <w:t>Som hovedregel:</w:t>
      </w:r>
    </w:p>
    <w:p w:rsidR="00D806A6" w:rsidRPr="00E6607A" w:rsidRDefault="00D806A6" w:rsidP="00D806A6">
      <w:pPr>
        <w:spacing w:after="200"/>
        <w:rPr>
          <w:rFonts w:cs="Calibri"/>
        </w:rPr>
      </w:pPr>
      <w:r w:rsidRPr="00E6607A">
        <w:rPr>
          <w:rFonts w:cs="Calibri"/>
        </w:rPr>
        <w:t>Ledere vil ha tilgang til å lese alle saker, journalposter og saksdokumenter som er skjermet med tilgangskode innenfor egen administrativ enhet. Øvrige brukere kan gis tilgang ved at de mottar en oppgave, mottar et notat, legges som kopimottaker på brev eller notat eller legges i tilgangsgruppe til de saker som er skjermet med koder de er forberedt for å få tilgang til.</w:t>
      </w:r>
    </w:p>
    <w:p w:rsidR="00D806A6" w:rsidRPr="00CF190B" w:rsidRDefault="00D806A6" w:rsidP="00D806A6">
      <w:pPr>
        <w:tabs>
          <w:tab w:val="left" w:pos="1197"/>
        </w:tabs>
        <w:rPr>
          <w:rFonts w:cs="Calibri"/>
        </w:rPr>
      </w:pPr>
      <w:r w:rsidRPr="001E2E52">
        <w:rPr>
          <w:rFonts w:cs="Calibri"/>
        </w:rPr>
        <w:t xml:space="preserve">NOARK-standarden </w:t>
      </w:r>
      <w:r w:rsidRPr="00E6607A">
        <w:rPr>
          <w:rFonts w:cs="Calibri"/>
        </w:rPr>
        <w:t xml:space="preserve">definerer følgende </w:t>
      </w:r>
      <w:r w:rsidRPr="00E6607A">
        <w:rPr>
          <w:rFonts w:cs="Calibri"/>
          <w:b/>
        </w:rPr>
        <w:t>tre</w:t>
      </w:r>
      <w:r w:rsidRPr="00E6607A">
        <w:rPr>
          <w:rFonts w:cs="Calibri"/>
        </w:rPr>
        <w:t xml:space="preserve"> nivåer for skjerming:</w:t>
      </w:r>
    </w:p>
    <w:p w:rsidR="00D806A6" w:rsidRPr="00CF190B" w:rsidRDefault="00D806A6" w:rsidP="00D806A6">
      <w:pPr>
        <w:tabs>
          <w:tab w:val="left" w:pos="1197"/>
        </w:tabs>
        <w:rPr>
          <w:rFonts w:cs="Calibri"/>
        </w:rPr>
      </w:pPr>
      <w:r w:rsidRPr="00E6607A">
        <w:rPr>
          <w:rFonts w:cs="Calibri"/>
          <w:b/>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D806A6" w:rsidRPr="00E6607A" w:rsidTr="00302CA4">
        <w:tc>
          <w:tcPr>
            <w:tcW w:w="522" w:type="dxa"/>
          </w:tcPr>
          <w:p w:rsidR="00D806A6" w:rsidRPr="00E6607A" w:rsidRDefault="00D806A6" w:rsidP="00302CA4">
            <w:pPr>
              <w:tabs>
                <w:tab w:val="left" w:pos="1197"/>
              </w:tabs>
              <w:rPr>
                <w:rFonts w:cs="Calibri"/>
              </w:rPr>
            </w:pPr>
            <w:r w:rsidRPr="00E6607A">
              <w:rPr>
                <w:rFonts w:cs="Calibri"/>
              </w:rPr>
              <w:t>1.</w:t>
            </w:r>
          </w:p>
        </w:tc>
        <w:tc>
          <w:tcPr>
            <w:tcW w:w="3070" w:type="dxa"/>
          </w:tcPr>
          <w:p w:rsidR="00D806A6" w:rsidRPr="00E6607A" w:rsidRDefault="00D806A6" w:rsidP="00302CA4">
            <w:pPr>
              <w:tabs>
                <w:tab w:val="left" w:pos="1197"/>
              </w:tabs>
              <w:rPr>
                <w:rFonts w:cs="Calibri"/>
              </w:rPr>
            </w:pPr>
            <w:r w:rsidRPr="00E6607A">
              <w:rPr>
                <w:rFonts w:cs="Calibri"/>
              </w:rPr>
              <w:t>Bare fysiske saker er tilgangsbegrenset</w:t>
            </w:r>
          </w:p>
        </w:tc>
        <w:tc>
          <w:tcPr>
            <w:tcW w:w="3070" w:type="dxa"/>
          </w:tcPr>
          <w:p w:rsidR="00D806A6" w:rsidRPr="00E6607A" w:rsidRDefault="00D806A6" w:rsidP="00302CA4">
            <w:pPr>
              <w:tabs>
                <w:tab w:val="left" w:pos="1197"/>
              </w:tabs>
              <w:rPr>
                <w:rFonts w:cs="Calibri"/>
              </w:rPr>
            </w:pPr>
            <w:r w:rsidRPr="00E6607A">
              <w:rPr>
                <w:rFonts w:cs="Calibri"/>
              </w:rPr>
              <w:t>For alle journalposter som ”arver” gradering fra arkivsaken vil tekstdokumentene bli avskjermet.</w:t>
            </w:r>
          </w:p>
        </w:tc>
      </w:tr>
      <w:tr w:rsidR="00D806A6" w:rsidRPr="00E6607A" w:rsidTr="00302CA4">
        <w:tc>
          <w:tcPr>
            <w:tcW w:w="522" w:type="dxa"/>
          </w:tcPr>
          <w:p w:rsidR="00D806A6" w:rsidRPr="00E6607A" w:rsidRDefault="00D806A6" w:rsidP="00302CA4">
            <w:pPr>
              <w:tabs>
                <w:tab w:val="left" w:pos="1197"/>
              </w:tabs>
              <w:rPr>
                <w:rFonts w:cs="Calibri"/>
              </w:rPr>
            </w:pPr>
            <w:r w:rsidRPr="00E6607A">
              <w:rPr>
                <w:rFonts w:cs="Calibri"/>
              </w:rPr>
              <w:t>2.</w:t>
            </w:r>
          </w:p>
        </w:tc>
        <w:tc>
          <w:tcPr>
            <w:tcW w:w="3070" w:type="dxa"/>
          </w:tcPr>
          <w:p w:rsidR="00D806A6" w:rsidRPr="00E6607A" w:rsidRDefault="00D806A6" w:rsidP="00302CA4">
            <w:pPr>
              <w:tabs>
                <w:tab w:val="left" w:pos="1197"/>
              </w:tabs>
              <w:rPr>
                <w:rFonts w:cs="Calibri"/>
              </w:rPr>
            </w:pPr>
            <w:r w:rsidRPr="00E6607A">
              <w:rPr>
                <w:rFonts w:cs="Calibri"/>
              </w:rPr>
              <w:t>Som kode 1 + linje 2 i sakstittel avskjermes</w:t>
            </w:r>
          </w:p>
        </w:tc>
        <w:tc>
          <w:tcPr>
            <w:tcW w:w="3070" w:type="dxa"/>
          </w:tcPr>
          <w:p w:rsidR="00D806A6" w:rsidRPr="00E6607A" w:rsidRDefault="00D806A6" w:rsidP="00302CA4">
            <w:pPr>
              <w:tabs>
                <w:tab w:val="left" w:pos="1197"/>
              </w:tabs>
              <w:rPr>
                <w:rFonts w:cs="Calibri"/>
              </w:rPr>
            </w:pPr>
            <w:r w:rsidRPr="00E6607A">
              <w:rPr>
                <w:rFonts w:cs="Calibri"/>
              </w:rPr>
              <w:t xml:space="preserve">Avskjermingsnivå 1 gjelder fortsatt. </w:t>
            </w:r>
          </w:p>
          <w:p w:rsidR="00D806A6" w:rsidRPr="00E6607A" w:rsidRDefault="00D806A6" w:rsidP="00302CA4">
            <w:pPr>
              <w:tabs>
                <w:tab w:val="left" w:pos="1197"/>
              </w:tabs>
              <w:rPr>
                <w:rFonts w:cs="Calibri"/>
              </w:rPr>
            </w:pPr>
            <w:r w:rsidRPr="00E6607A">
              <w:rPr>
                <w:rFonts w:cs="Calibri"/>
              </w:rPr>
              <w:t>I tillegg avskjermes arkivsakens tittellinje 2.</w:t>
            </w:r>
          </w:p>
        </w:tc>
      </w:tr>
      <w:tr w:rsidR="00D806A6" w:rsidRPr="00E6607A" w:rsidTr="00302CA4">
        <w:tc>
          <w:tcPr>
            <w:tcW w:w="522" w:type="dxa"/>
          </w:tcPr>
          <w:p w:rsidR="00D806A6" w:rsidRPr="00E6607A" w:rsidRDefault="00D806A6" w:rsidP="00302CA4">
            <w:pPr>
              <w:tabs>
                <w:tab w:val="left" w:pos="1197"/>
              </w:tabs>
              <w:rPr>
                <w:rFonts w:cs="Calibri"/>
              </w:rPr>
            </w:pPr>
            <w:r w:rsidRPr="00E6607A">
              <w:rPr>
                <w:rFonts w:cs="Calibri"/>
              </w:rPr>
              <w:t>3.</w:t>
            </w:r>
          </w:p>
        </w:tc>
        <w:tc>
          <w:tcPr>
            <w:tcW w:w="3070" w:type="dxa"/>
          </w:tcPr>
          <w:p w:rsidR="00D806A6" w:rsidRPr="00E6607A" w:rsidRDefault="00D806A6" w:rsidP="00302CA4">
            <w:pPr>
              <w:tabs>
                <w:tab w:val="left" w:pos="1197"/>
              </w:tabs>
              <w:rPr>
                <w:rFonts w:cs="Calibri"/>
              </w:rPr>
            </w:pPr>
            <w:r w:rsidRPr="00E6607A">
              <w:rPr>
                <w:rFonts w:cs="Calibri"/>
              </w:rPr>
              <w:t>Som kode 2 + klassering avskjermes</w:t>
            </w:r>
          </w:p>
        </w:tc>
        <w:tc>
          <w:tcPr>
            <w:tcW w:w="3070" w:type="dxa"/>
          </w:tcPr>
          <w:p w:rsidR="00D806A6" w:rsidRPr="00E6607A" w:rsidRDefault="00D806A6" w:rsidP="00302CA4">
            <w:pPr>
              <w:tabs>
                <w:tab w:val="left" w:pos="1197"/>
              </w:tabs>
              <w:rPr>
                <w:rFonts w:cs="Calibri"/>
              </w:rPr>
            </w:pPr>
            <w:r w:rsidRPr="00E6607A">
              <w:rPr>
                <w:rFonts w:cs="Calibri"/>
              </w:rPr>
              <w:t>Avskjermingsnivå 1 og 2 gjelder fortsatt.</w:t>
            </w:r>
          </w:p>
          <w:p w:rsidR="00D806A6" w:rsidRPr="00E6607A" w:rsidRDefault="00D806A6" w:rsidP="00302CA4">
            <w:pPr>
              <w:tabs>
                <w:tab w:val="left" w:pos="1197"/>
              </w:tabs>
              <w:rPr>
                <w:rFonts w:cs="Calibri"/>
              </w:rPr>
            </w:pPr>
            <w:r w:rsidRPr="00E6607A">
              <w:rPr>
                <w:rFonts w:cs="Calibri"/>
              </w:rPr>
              <w:t>I tillegg avskjermes klassering (arkivkoden).</w:t>
            </w:r>
          </w:p>
        </w:tc>
      </w:tr>
    </w:tbl>
    <w:p w:rsidR="00D806A6" w:rsidRPr="00E6607A" w:rsidRDefault="00D806A6" w:rsidP="00D806A6">
      <w:pPr>
        <w:tabs>
          <w:tab w:val="left" w:pos="1197"/>
        </w:tabs>
        <w:rPr>
          <w:rFonts w:cs="Calibri"/>
          <w:b/>
        </w:rPr>
      </w:pPr>
    </w:p>
    <w:p w:rsidR="00D806A6" w:rsidRPr="00E6607A" w:rsidRDefault="00D806A6" w:rsidP="00D806A6">
      <w:pPr>
        <w:tabs>
          <w:tab w:val="left" w:pos="1197"/>
        </w:tabs>
        <w:rPr>
          <w:rFonts w:cs="Calibri"/>
          <w:b/>
        </w:rPr>
      </w:pPr>
      <w:r w:rsidRPr="00E6607A">
        <w:rPr>
          <w:rFonts w:cs="Calibri"/>
          <w:b/>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D806A6" w:rsidRPr="00E6607A" w:rsidTr="00302CA4">
        <w:tc>
          <w:tcPr>
            <w:tcW w:w="522" w:type="dxa"/>
          </w:tcPr>
          <w:p w:rsidR="00D806A6" w:rsidRPr="00E6607A" w:rsidRDefault="00D806A6" w:rsidP="00302CA4">
            <w:pPr>
              <w:tabs>
                <w:tab w:val="left" w:pos="1197"/>
              </w:tabs>
              <w:rPr>
                <w:rFonts w:cs="Calibri"/>
              </w:rPr>
            </w:pPr>
            <w:r w:rsidRPr="00E6607A">
              <w:rPr>
                <w:rFonts w:cs="Calibri"/>
              </w:rPr>
              <w:t>1.</w:t>
            </w:r>
          </w:p>
        </w:tc>
        <w:tc>
          <w:tcPr>
            <w:tcW w:w="3070" w:type="dxa"/>
          </w:tcPr>
          <w:p w:rsidR="00D806A6" w:rsidRPr="00E6607A" w:rsidRDefault="00D806A6" w:rsidP="00302CA4">
            <w:pPr>
              <w:tabs>
                <w:tab w:val="left" w:pos="1197"/>
              </w:tabs>
              <w:rPr>
                <w:rFonts w:cs="Calibri"/>
              </w:rPr>
            </w:pPr>
            <w:r w:rsidRPr="00E6607A">
              <w:rPr>
                <w:rFonts w:cs="Calibri"/>
              </w:rPr>
              <w:t>Bare fysiske tekstdokumenter er tilgangsbegrenset</w:t>
            </w:r>
          </w:p>
        </w:tc>
        <w:tc>
          <w:tcPr>
            <w:tcW w:w="3070" w:type="dxa"/>
          </w:tcPr>
          <w:p w:rsidR="00D806A6" w:rsidRPr="00E6607A" w:rsidRDefault="00D806A6" w:rsidP="00302CA4">
            <w:pPr>
              <w:tabs>
                <w:tab w:val="left" w:pos="1197"/>
              </w:tabs>
              <w:rPr>
                <w:rFonts w:cs="Calibri"/>
              </w:rPr>
            </w:pPr>
            <w:r w:rsidRPr="00E6607A">
              <w:rPr>
                <w:rFonts w:cs="Calibri"/>
              </w:rPr>
              <w:t>Tekstdokumentene som er knyttet til journalposten avskjermes.</w:t>
            </w:r>
          </w:p>
        </w:tc>
      </w:tr>
      <w:tr w:rsidR="00D806A6" w:rsidRPr="00E6607A" w:rsidTr="00302CA4">
        <w:tc>
          <w:tcPr>
            <w:tcW w:w="522" w:type="dxa"/>
          </w:tcPr>
          <w:p w:rsidR="00D806A6" w:rsidRPr="00E6607A" w:rsidRDefault="00D806A6" w:rsidP="00302CA4">
            <w:pPr>
              <w:tabs>
                <w:tab w:val="left" w:pos="1197"/>
              </w:tabs>
              <w:rPr>
                <w:rFonts w:cs="Calibri"/>
              </w:rPr>
            </w:pPr>
          </w:p>
          <w:p w:rsidR="00D806A6" w:rsidRPr="00E6607A" w:rsidRDefault="00D806A6" w:rsidP="00302CA4">
            <w:pPr>
              <w:tabs>
                <w:tab w:val="left" w:pos="1197"/>
              </w:tabs>
              <w:rPr>
                <w:rFonts w:cs="Calibri"/>
              </w:rPr>
            </w:pPr>
            <w:r w:rsidRPr="00E6607A">
              <w:rPr>
                <w:rFonts w:cs="Calibri"/>
              </w:rPr>
              <w:t>2.</w:t>
            </w:r>
          </w:p>
        </w:tc>
        <w:tc>
          <w:tcPr>
            <w:tcW w:w="3070" w:type="dxa"/>
          </w:tcPr>
          <w:p w:rsidR="00D806A6" w:rsidRPr="00E6607A" w:rsidRDefault="00D806A6" w:rsidP="00302CA4">
            <w:pPr>
              <w:tabs>
                <w:tab w:val="left" w:pos="1197"/>
              </w:tabs>
              <w:rPr>
                <w:rFonts w:cs="Calibri"/>
              </w:rPr>
            </w:pPr>
            <w:r w:rsidRPr="00E6607A">
              <w:rPr>
                <w:rFonts w:cs="Calibri"/>
              </w:rPr>
              <w:t>Som kode 1 + linje 2 i journalposttittel avskjermes</w:t>
            </w:r>
          </w:p>
        </w:tc>
        <w:tc>
          <w:tcPr>
            <w:tcW w:w="3070" w:type="dxa"/>
          </w:tcPr>
          <w:p w:rsidR="00D806A6" w:rsidRPr="00E6607A" w:rsidRDefault="00D806A6" w:rsidP="00302CA4">
            <w:pPr>
              <w:tabs>
                <w:tab w:val="left" w:pos="1197"/>
              </w:tabs>
              <w:rPr>
                <w:rFonts w:cs="Calibri"/>
              </w:rPr>
            </w:pPr>
            <w:r w:rsidRPr="00E6607A">
              <w:rPr>
                <w:rFonts w:cs="Calibri"/>
              </w:rPr>
              <w:t xml:space="preserve">Avskjermingsnivå 1 gjelder fortsatt. </w:t>
            </w:r>
          </w:p>
          <w:p w:rsidR="00D806A6" w:rsidRPr="00E6607A" w:rsidRDefault="00D806A6" w:rsidP="00302CA4">
            <w:pPr>
              <w:tabs>
                <w:tab w:val="left" w:pos="1197"/>
              </w:tabs>
              <w:rPr>
                <w:rFonts w:cs="Calibri"/>
              </w:rPr>
            </w:pPr>
            <w:r w:rsidRPr="00E6607A">
              <w:rPr>
                <w:rFonts w:cs="Calibri"/>
              </w:rPr>
              <w:t>I tillegg avskjermes journalpostens tittellinje 2.</w:t>
            </w:r>
          </w:p>
        </w:tc>
      </w:tr>
      <w:tr w:rsidR="00D806A6" w:rsidRPr="00E6607A" w:rsidTr="00302CA4">
        <w:tc>
          <w:tcPr>
            <w:tcW w:w="522" w:type="dxa"/>
          </w:tcPr>
          <w:p w:rsidR="00D806A6" w:rsidRPr="00E6607A" w:rsidRDefault="00D806A6" w:rsidP="00302CA4">
            <w:pPr>
              <w:tabs>
                <w:tab w:val="left" w:pos="1197"/>
              </w:tabs>
              <w:rPr>
                <w:rFonts w:cs="Calibri"/>
              </w:rPr>
            </w:pPr>
            <w:r w:rsidRPr="00E6607A">
              <w:rPr>
                <w:rFonts w:cs="Calibri"/>
              </w:rPr>
              <w:t>3.</w:t>
            </w:r>
          </w:p>
        </w:tc>
        <w:tc>
          <w:tcPr>
            <w:tcW w:w="3070" w:type="dxa"/>
          </w:tcPr>
          <w:p w:rsidR="00D806A6" w:rsidRPr="00E6607A" w:rsidRDefault="00D806A6" w:rsidP="00302CA4">
            <w:pPr>
              <w:tabs>
                <w:tab w:val="left" w:pos="1197"/>
              </w:tabs>
              <w:rPr>
                <w:rFonts w:cs="Calibri"/>
              </w:rPr>
            </w:pPr>
            <w:r w:rsidRPr="00E6607A">
              <w:rPr>
                <w:rFonts w:cs="Calibri"/>
              </w:rPr>
              <w:t>Som kode 2 + alt i avsender/mottaker feltet avskjermes</w:t>
            </w:r>
          </w:p>
        </w:tc>
        <w:tc>
          <w:tcPr>
            <w:tcW w:w="3070" w:type="dxa"/>
          </w:tcPr>
          <w:p w:rsidR="00D806A6" w:rsidRPr="00E6607A" w:rsidRDefault="00D806A6" w:rsidP="00302CA4">
            <w:pPr>
              <w:tabs>
                <w:tab w:val="left" w:pos="1197"/>
              </w:tabs>
              <w:rPr>
                <w:rFonts w:cs="Calibri"/>
              </w:rPr>
            </w:pPr>
            <w:r w:rsidRPr="00E6607A">
              <w:rPr>
                <w:rFonts w:cs="Calibri"/>
              </w:rPr>
              <w:t>Avskjermingsnivå 1 og 2 gjelder fortsatt.</w:t>
            </w:r>
          </w:p>
          <w:p w:rsidR="00D806A6" w:rsidRPr="00E6607A" w:rsidRDefault="00D806A6" w:rsidP="00302CA4">
            <w:pPr>
              <w:tabs>
                <w:tab w:val="left" w:pos="1197"/>
              </w:tabs>
              <w:rPr>
                <w:rFonts w:cs="Calibri"/>
              </w:rPr>
            </w:pPr>
            <w:r w:rsidRPr="00E6607A">
              <w:rPr>
                <w:rFonts w:cs="Calibri"/>
              </w:rPr>
              <w:t>I tillegg avskjermes opplysninger om avsender/mottaker.</w:t>
            </w:r>
          </w:p>
        </w:tc>
      </w:tr>
    </w:tbl>
    <w:p w:rsidR="00D806A6" w:rsidRDefault="00D806A6" w:rsidP="00D806A6">
      <w:pPr>
        <w:spacing w:after="200" w:line="276" w:lineRule="auto"/>
      </w:pPr>
    </w:p>
    <w:p w:rsidR="006E5759" w:rsidRDefault="008E7F4E"/>
    <w:sectPr w:rsidR="006E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A6"/>
    <w:rsid w:val="00426BC2"/>
    <w:rsid w:val="008E7F4E"/>
    <w:rsid w:val="00A80CDF"/>
    <w:rsid w:val="00D806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FD50"/>
  <w15:chartTrackingRefBased/>
  <w15:docId w15:val="{48EE7A1F-CAD1-4B0B-B791-7BF368E2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A6"/>
    <w:rPr>
      <w:rFonts w:eastAsiaTheme="minorEastAsi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E7F4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8E7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ovdata.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1718</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Vestvagoy Kommune</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Karlsen</dc:creator>
  <cp:keywords/>
  <dc:description/>
  <cp:lastModifiedBy>Wenche Karlsen</cp:lastModifiedBy>
  <cp:revision>2</cp:revision>
  <dcterms:created xsi:type="dcterms:W3CDTF">2023-01-20T14:23:00Z</dcterms:created>
  <dcterms:modified xsi:type="dcterms:W3CDTF">2023-01-20T14:23:00Z</dcterms:modified>
</cp:coreProperties>
</file>